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830"/>
              <w:gridCol w:w="4270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ФЕДЕРАЛЬНАЯ СЛУЖБА ПО НАДЗОРУ В СФЕРЕ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ЗАЩИТЫ ПРАВ ПОТРЕБИТЕЛЕЙ И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sz w:val="14"/>
                      <w:szCs w:val="24"/>
                    </w:rPr>
                    <w:t>БЛАГОПОЛУЧИЯ ЧЕЛОВЕКА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ФБУЗ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«Центр гигиены и эпидемиологии в Свердловской области»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  <w:p w:rsidR="00DB5CA9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Филиал Федерального бюджетного учреждения здравоохранения «Центр гигиены и эпидемиологии в Свердловской области в городе Красноуфимск, Красноуфимском,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Ачитском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и 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>Артинском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/>
                      <w:sz w:val="18"/>
                      <w:szCs w:val="24"/>
                    </w:rPr>
                    <w:t xml:space="preserve"> районах»</w:t>
                  </w:r>
                  <w:r w:rsidRPr="00F12582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  <w:r w:rsidRPr="00B20EE7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(</w:t>
                  </w:r>
                  <w:proofErr w:type="spellStart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Красноуфимский</w:t>
                  </w:r>
                  <w:proofErr w:type="spellEnd"/>
                  <w:r w:rsidRPr="00F12582"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 xml:space="preserve"> филиал ФБУЗ «Центр гигиены и эпидемиологии в Свердловской области»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  <w:t>)</w:t>
                  </w: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24"/>
                    </w:rPr>
                  </w:pPr>
                </w:p>
                <w:p w:rsidR="00DB5CA9" w:rsidRPr="00B20EE7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ул.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13, 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 Красноуфимск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623300</w:t>
                  </w:r>
                </w:p>
                <w:p w:rsidR="00DB5CA9" w:rsidRPr="00BB059F" w:rsidRDefault="00DB5CA9" w:rsidP="00DB5C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т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ел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./</w:t>
                  </w:r>
                  <w:r w:rsidRPr="00B20EE7">
                    <w:rPr>
                      <w:rFonts w:ascii="Times New Roman" w:hAnsi="Times New Roman" w:cs="Times New Roman"/>
                      <w:sz w:val="18"/>
                      <w:szCs w:val="24"/>
                    </w:rPr>
                    <w:t>факс</w:t>
                  </w:r>
                  <w:r w:rsidRPr="00444245">
                    <w:rPr>
                      <w:rFonts w:ascii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(34394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7-59-43</w:t>
                  </w:r>
                </w:p>
                <w:p w:rsidR="00DB5CA9" w:rsidRPr="00444245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E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>-</w:t>
                  </w:r>
                  <w:r w:rsidRPr="006D0D81"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  <w:t>mail</w:t>
                  </w:r>
                  <w:r w:rsidRPr="00444245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: </w:t>
                  </w:r>
                  <w:hyperlink r:id="rId7" w:history="1"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mail</w:t>
                    </w:r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_07@66.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rospotrebnadzor</w:t>
                    </w:r>
                    <w:proofErr w:type="spellEnd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.</w:t>
                    </w:r>
                    <w:proofErr w:type="spellStart"/>
                    <w:r w:rsidRPr="00C52A0A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5CA9" w:rsidRPr="00465ECE" w:rsidRDefault="00ED536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hyperlink r:id="rId8" w:history="1">
                    <w:r w:rsidR="00DB5CA9" w:rsidRPr="009D1CD9">
                      <w:rPr>
                        <w:rStyle w:val="a5"/>
                        <w:rFonts w:ascii="Times New Roman" w:hAnsi="Times New Roman" w:cs="Times New Roman"/>
                        <w:sz w:val="18"/>
                        <w:szCs w:val="24"/>
                      </w:rPr>
                      <w:t>https://fbuz66.ru/</w:t>
                    </w:r>
                  </w:hyperlink>
                </w:p>
                <w:p w:rsidR="00DB5CA9" w:rsidRPr="008848D7" w:rsidRDefault="00DB5CA9" w:rsidP="00DB5CA9">
                  <w:pPr>
                    <w:pStyle w:val="140"/>
                  </w:pPr>
                  <w:r w:rsidRPr="008848D7">
                    <w:t>ОКПО</w:t>
                  </w:r>
                  <w:r>
                    <w:t xml:space="preserve"> </w:t>
                  </w:r>
                  <w:r w:rsidRPr="00F12582">
                    <w:t>77145016</w:t>
                  </w:r>
                  <w:r w:rsidRPr="008848D7">
                    <w:t>, ОГРН 1056603530510</w:t>
                  </w:r>
                </w:p>
                <w:p w:rsidR="00DB5CA9" w:rsidRPr="008848D7" w:rsidRDefault="00DB5CA9" w:rsidP="00DB5CA9">
                  <w:pPr>
                    <w:tabs>
                      <w:tab w:val="left" w:pos="2685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4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ИНН/КПП 6670081969/668343001</w:t>
                  </w:r>
                </w:p>
                <w:p w:rsidR="000C405C" w:rsidRPr="0096473F" w:rsidRDefault="000C405C" w:rsidP="00481CE6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81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B5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tbl>
      <w:tblPr>
        <w:tblW w:w="20286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9431"/>
        <w:gridCol w:w="420"/>
        <w:gridCol w:w="435"/>
      </w:tblGrid>
      <w:tr w:rsidR="00481CE6" w:rsidRPr="00481CE6" w:rsidTr="00481CE6">
        <w:trPr>
          <w:tblCellSpacing w:w="15" w:type="dxa"/>
        </w:trPr>
        <w:tc>
          <w:tcPr>
            <w:tcW w:w="4778" w:type="pct"/>
            <w:shd w:val="clear" w:color="auto" w:fill="FFFFFF"/>
            <w:vAlign w:val="center"/>
            <w:hideMark/>
          </w:tcPr>
          <w:p w:rsidR="00481CE6" w:rsidRPr="00481CE6" w:rsidRDefault="00481CE6" w:rsidP="00481CE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  <w:vAlign w:val="center"/>
            <w:hideMark/>
          </w:tcPr>
          <w:p w:rsidR="00481CE6" w:rsidRPr="00481CE6" w:rsidRDefault="00481CE6" w:rsidP="00481CE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  <w:r w:rsidRPr="00481CE6">
              <w:rPr>
                <w:b/>
                <w:sz w:val="20"/>
                <w:szCs w:val="20"/>
              </w:rPr>
              <w:drawing>
                <wp:inline distT="0" distB="0" distL="0" distR="0" wp14:anchorId="2FA417A8" wp14:editId="452C4CBE">
                  <wp:extent cx="151130" cy="151130"/>
                  <wp:effectExtent l="0" t="0" r="1270" b="1270"/>
                  <wp:docPr id="2" name="Рисунок 2" descr="PDF">
                    <a:hlinkClick xmlns:a="http://schemas.openxmlformats.org/drawingml/2006/main" r:id="rId9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9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" w:type="pct"/>
            <w:shd w:val="clear" w:color="auto" w:fill="FFFFFF"/>
            <w:vAlign w:val="center"/>
            <w:hideMark/>
          </w:tcPr>
          <w:p w:rsidR="00481CE6" w:rsidRPr="00481CE6" w:rsidRDefault="00481CE6" w:rsidP="00481CE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  <w:r w:rsidRPr="00481CE6">
              <w:rPr>
                <w:b/>
                <w:sz w:val="20"/>
                <w:szCs w:val="20"/>
              </w:rPr>
              <w:drawing>
                <wp:inline distT="0" distB="0" distL="0" distR="0" wp14:anchorId="4F88DE27" wp14:editId="50BF62CC">
                  <wp:extent cx="151130" cy="151130"/>
                  <wp:effectExtent l="0" t="0" r="1270" b="1270"/>
                  <wp:docPr id="1" name="Рисунок 1" descr="Печать">
                    <a:hlinkClick xmlns:a="http://schemas.openxmlformats.org/drawingml/2006/main" r:id="rId11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11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bookmarkStart w:id="0" w:name="_GoBack"/>
      <w:r w:rsidRPr="00481CE6">
        <w:rPr>
          <w:b/>
          <w:sz w:val="20"/>
          <w:szCs w:val="20"/>
        </w:rPr>
        <w:t>Финансовая грамотность. Подписан закон о совершенствовании механизма противодействия хищению</w:t>
      </w:r>
    </w:p>
    <w:bookmarkEnd w:id="0"/>
    <w:p w:rsid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:rsidR="00481CE6" w:rsidRP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1CE6">
        <w:rPr>
          <w:sz w:val="20"/>
          <w:szCs w:val="20"/>
        </w:rPr>
        <w:t>Опубликован Федеральный закон от 24.07.2023 № 369-ФЗ «О внесении изменений в Федеральный закон «О национальной платежной системе».</w:t>
      </w:r>
    </w:p>
    <w:p w:rsidR="00481CE6" w:rsidRP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1CE6">
        <w:rPr>
          <w:sz w:val="20"/>
          <w:szCs w:val="20"/>
        </w:rPr>
        <w:t xml:space="preserve">Принятые изменения направлены на совершенствование механизма противодействия хищению денежных средств со счета клиента. Теперь оператор по переводу денежных средств будет обязан осуществить проверку </w:t>
      </w:r>
      <w:proofErr w:type="gramStart"/>
      <w:r w:rsidRPr="00481CE6">
        <w:rPr>
          <w:sz w:val="20"/>
          <w:szCs w:val="20"/>
        </w:rPr>
        <w:t>наличия признаков осуществления перевода денежных средств</w:t>
      </w:r>
      <w:proofErr w:type="gramEnd"/>
      <w:r w:rsidRPr="00481CE6">
        <w:rPr>
          <w:sz w:val="20"/>
          <w:szCs w:val="20"/>
        </w:rPr>
        <w:t xml:space="preserve"> без добровольного согласия клиента, то есть либо без согласия клиента или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</w:t>
      </w:r>
      <w:proofErr w:type="gramStart"/>
      <w:r w:rsidRPr="00481CE6">
        <w:rPr>
          <w:sz w:val="20"/>
          <w:szCs w:val="20"/>
        </w:rPr>
        <w:t>дств кл</w:t>
      </w:r>
      <w:proofErr w:type="gramEnd"/>
      <w:r w:rsidRPr="00481CE6">
        <w:rPr>
          <w:sz w:val="20"/>
          <w:szCs w:val="20"/>
        </w:rPr>
        <w:t>иента.</w:t>
      </w:r>
    </w:p>
    <w:p w:rsidR="00481CE6" w:rsidRP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1CE6">
        <w:rPr>
          <w:sz w:val="20"/>
          <w:szCs w:val="20"/>
        </w:rPr>
        <w:t>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:rsidR="00481CE6" w:rsidRP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1CE6">
        <w:rPr>
          <w:sz w:val="20"/>
          <w:szCs w:val="20"/>
        </w:rPr>
        <w:t xml:space="preserve">Законом предусмотрены меры защиты клиента в случае необоснованного перечисления денежных средств. </w:t>
      </w:r>
      <w:proofErr w:type="gramStart"/>
      <w:r w:rsidRPr="00481CE6">
        <w:rPr>
          <w:sz w:val="20"/>
          <w:szCs w:val="20"/>
        </w:rPr>
        <w:t>Например, если оператор по переводу денежных средств, получает от Банка России информацию, содержащуюся в специальной базе данных,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карт, либо перевод электронных денежных средств и при этом такая операция содержит признаки перевода денежных средств без добровольного согласия клиента, и в итоге деньги будут</w:t>
      </w:r>
      <w:proofErr w:type="gramEnd"/>
      <w:r w:rsidRPr="00481CE6">
        <w:rPr>
          <w:sz w:val="20"/>
          <w:szCs w:val="20"/>
        </w:rPr>
        <w:t xml:space="preserve"> </w:t>
      </w:r>
      <w:proofErr w:type="gramStart"/>
      <w:r w:rsidRPr="00481CE6">
        <w:rPr>
          <w:sz w:val="20"/>
          <w:szCs w:val="20"/>
        </w:rPr>
        <w:t>похищены</w:t>
      </w:r>
      <w:proofErr w:type="gramEnd"/>
      <w:r w:rsidRPr="00481CE6">
        <w:rPr>
          <w:sz w:val="20"/>
          <w:szCs w:val="20"/>
        </w:rPr>
        <w:t>, то в этом случае оператор будет обязан возместить клиенту эту сумму в 30-дневный срок.</w:t>
      </w:r>
    </w:p>
    <w:p w:rsidR="00481CE6" w:rsidRP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481CE6">
        <w:rPr>
          <w:sz w:val="20"/>
          <w:szCs w:val="20"/>
        </w:rPr>
        <w:t>Оператор по переводу денежных средств (банк) будет обязан приостановить использование клиентом электронного средства платежа, то есть выполнение любых операций по счету, если к нему об этом счете или клиенте поступит от Банка России информация, содержащаяся в специальной базе данных, в том числе информация из правоохранительных органов о совершенных противоправных действиях с использованием этого счета.</w:t>
      </w:r>
      <w:proofErr w:type="gramEnd"/>
      <w:r w:rsidRPr="00481CE6">
        <w:rPr>
          <w:sz w:val="20"/>
          <w:szCs w:val="20"/>
        </w:rPr>
        <w:t xml:space="preserve"> То есть счета, используемые для хищения денежных сре</w:t>
      </w:r>
      <w:proofErr w:type="gramStart"/>
      <w:r w:rsidRPr="00481CE6">
        <w:rPr>
          <w:sz w:val="20"/>
          <w:szCs w:val="20"/>
        </w:rPr>
        <w:t>дств гр</w:t>
      </w:r>
      <w:proofErr w:type="gramEnd"/>
      <w:r w:rsidRPr="00481CE6">
        <w:rPr>
          <w:sz w:val="20"/>
          <w:szCs w:val="20"/>
        </w:rPr>
        <w:t>аждан, а также для их последующего вывода будет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:rsidR="00481CE6" w:rsidRPr="00481CE6" w:rsidRDefault="00481CE6" w:rsidP="00481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D74AC">
        <w:rPr>
          <w:sz w:val="20"/>
          <w:szCs w:val="20"/>
        </w:rPr>
        <w:t>Внимание!</w:t>
      </w:r>
      <w:r w:rsidR="003D74AC">
        <w:rPr>
          <w:sz w:val="20"/>
          <w:szCs w:val="20"/>
        </w:rPr>
        <w:t xml:space="preserve"> </w:t>
      </w:r>
      <w:r w:rsidRPr="00481CE6">
        <w:rPr>
          <w:sz w:val="20"/>
          <w:szCs w:val="20"/>
        </w:rPr>
        <w:t>Указанные изменения вступают в силу 25.07.2024 года</w:t>
      </w:r>
    </w:p>
    <w:p w:rsidR="0086486F" w:rsidRPr="003D74AC" w:rsidRDefault="0086486F" w:rsidP="00D56E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86486F" w:rsidRPr="003D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174"/>
    <w:multiLevelType w:val="multilevel"/>
    <w:tmpl w:val="6A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EEF"/>
    <w:multiLevelType w:val="multilevel"/>
    <w:tmpl w:val="318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45230"/>
    <w:multiLevelType w:val="multilevel"/>
    <w:tmpl w:val="72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68355A"/>
    <w:multiLevelType w:val="multilevel"/>
    <w:tmpl w:val="116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4E32"/>
    <w:rsid w:val="000C405C"/>
    <w:rsid w:val="002E25E5"/>
    <w:rsid w:val="002E689D"/>
    <w:rsid w:val="00303A60"/>
    <w:rsid w:val="00370892"/>
    <w:rsid w:val="00376D37"/>
    <w:rsid w:val="003D74AC"/>
    <w:rsid w:val="004553EC"/>
    <w:rsid w:val="00473BFF"/>
    <w:rsid w:val="00481CE6"/>
    <w:rsid w:val="005056A2"/>
    <w:rsid w:val="00520B40"/>
    <w:rsid w:val="005C5113"/>
    <w:rsid w:val="006C7D90"/>
    <w:rsid w:val="00731D08"/>
    <w:rsid w:val="007543CF"/>
    <w:rsid w:val="007A174C"/>
    <w:rsid w:val="0080679F"/>
    <w:rsid w:val="0086486F"/>
    <w:rsid w:val="008822D8"/>
    <w:rsid w:val="008A45D8"/>
    <w:rsid w:val="008B3665"/>
    <w:rsid w:val="008B393F"/>
    <w:rsid w:val="0096473F"/>
    <w:rsid w:val="00976A63"/>
    <w:rsid w:val="009B2A62"/>
    <w:rsid w:val="009D4A4D"/>
    <w:rsid w:val="009E71DE"/>
    <w:rsid w:val="00A60E2B"/>
    <w:rsid w:val="00D56E21"/>
    <w:rsid w:val="00DB5CA9"/>
    <w:rsid w:val="00E03BE0"/>
    <w:rsid w:val="00E222F9"/>
    <w:rsid w:val="00E92439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A60"/>
    <w:rPr>
      <w:i/>
      <w:iCs/>
    </w:rPr>
  </w:style>
  <w:style w:type="character" w:customStyle="1" w:styleId="14">
    <w:name w:val="Основной текст (14)_"/>
    <w:basedOn w:val="a0"/>
    <w:link w:val="140"/>
    <w:rsid w:val="00DB5C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CA9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_07@66.rospotrebnadzor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04.rospotrebnadzor.ru/index.php/consumer-information/faq/19215-07032024.html?tmpl=component&amp;print=1&amp;layout=default&amp;page=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04.rospotrebnadzor.ru/index.php/consumer-information/faq/19215-070320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2024-03-12T03:33:00Z</cp:lastPrinted>
  <dcterms:created xsi:type="dcterms:W3CDTF">2024-03-12T03:33:00Z</dcterms:created>
  <dcterms:modified xsi:type="dcterms:W3CDTF">2024-03-12T03:33:00Z</dcterms:modified>
</cp:coreProperties>
</file>